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hint="eastAsia" w:asciiTheme="minorEastAsia" w:hAnsiTheme="minorEastAsia" w:eastAsiaTheme="minorEastAsia" w:cstheme="minorEastAsia"/>
          <w:b/>
          <w:sz w:val="44"/>
          <w:szCs w:val="44"/>
          <w:lang w:val="en-US" w:eastAsia="zh-CN"/>
        </w:rPr>
      </w:pPr>
      <w:r>
        <w:rPr>
          <w:rFonts w:hint="eastAsia" w:asciiTheme="minorEastAsia" w:hAnsiTheme="minorEastAsia" w:eastAsiaTheme="minorEastAsia" w:cstheme="minorEastAsia"/>
          <w:b/>
          <w:sz w:val="44"/>
          <w:szCs w:val="44"/>
          <w:lang w:val="en-US" w:eastAsia="zh-CN"/>
        </w:rPr>
        <w:t>矫顽力测试仪技术要求</w:t>
      </w:r>
    </w:p>
    <w:p>
      <w:pPr>
        <w:numPr>
          <w:ilvl w:val="0"/>
          <w:numId w:val="1"/>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设备用途：</w:t>
      </w:r>
    </w:p>
    <w:p>
      <w:pPr>
        <w:numPr>
          <w:ilvl w:val="0"/>
          <w:numId w:val="0"/>
        </w:numPr>
        <w:tabs>
          <w:tab w:val="left" w:pos="360"/>
        </w:tabs>
        <w:spacing w:line="360" w:lineRule="auto"/>
        <w:ind w:firstLine="480" w:firstLineChars="20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用于辰昕新材料公司生产的电磁纯铁产品的电磁性能检测，常规试样为由原始棒材加工为标准试样：试样长200 mm±0．2 mm，直径lO mm+0．2 mm。 测量项目包括：矫顽力（Hc）、最大磁导率（μm）、磁感应强度（B）等。</w:t>
      </w:r>
    </w:p>
    <w:p>
      <w:pPr>
        <w:numPr>
          <w:ilvl w:val="0"/>
          <w:numId w:val="1"/>
        </w:numPr>
        <w:tabs>
          <w:tab w:val="left" w:pos="360"/>
        </w:tabs>
        <w:spacing w:line="360" w:lineRule="auto"/>
        <w:ind w:left="0" w:leftChars="0" w:firstLine="0" w:firstLine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技术要求：</w:t>
      </w:r>
    </w:p>
    <w:p>
      <w:pPr>
        <w:numPr>
          <w:ilvl w:val="0"/>
          <w:numId w:val="0"/>
        </w:numPr>
        <w:tabs>
          <w:tab w:val="left" w:pos="360"/>
        </w:tabs>
        <w:spacing w:line="360" w:lineRule="auto"/>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2.1可测量矫顽力（Hc）、最大磁导率(</w:t>
      </w:r>
      <w:r>
        <w:rPr>
          <w:rFonts w:hint="eastAsia" w:asciiTheme="minorEastAsia" w:hAnsiTheme="minorEastAsia" w:eastAsiaTheme="minorEastAsia" w:cstheme="minorEastAsia"/>
          <w:b/>
          <w:bCs/>
          <w:kern w:val="0"/>
          <w:szCs w:val="24"/>
          <w:lang w:val="en-US" w:eastAsia="zh-CN"/>
        </w:rPr>
        <w:t>μ</w:t>
      </w:r>
      <w:r>
        <w:rPr>
          <w:rFonts w:hint="eastAsia" w:asciiTheme="minorEastAsia" w:hAnsiTheme="minorEastAsia" w:eastAsiaTheme="minorEastAsia" w:cstheme="minorEastAsia"/>
          <w:b/>
          <w:bCs/>
          <w:kern w:val="0"/>
          <w:sz w:val="24"/>
          <w:szCs w:val="24"/>
          <w:vertAlign w:val="subscript"/>
          <w:lang w:val="en-US" w:eastAsia="zh-CN"/>
        </w:rPr>
        <w:t>m</w:t>
      </w:r>
      <w:r>
        <w:rPr>
          <w:rFonts w:hint="eastAsia" w:asciiTheme="minorEastAsia" w:hAnsiTheme="minorEastAsia" w:eastAsiaTheme="minorEastAsia" w:cstheme="minorEastAsia"/>
          <w:kern w:val="0"/>
          <w:szCs w:val="24"/>
          <w:lang w:val="en-US" w:eastAsia="zh-CN"/>
        </w:rPr>
        <w:t>)、指定磁场下（B200、500、1000、2500、5000、10000等）的磁感应强度(B)。</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2.2测量参数：矫顽力Hc，剩磁Br；</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2.3矫顽力测量范围：300A/m量程（可扩展量程范围），具有120%裕度测量能力，0～360A/m；</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2.4矫顽力测量准确度：不大于±2.5%；</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2.5矫顽力测量重复性：不大于±1.5%；</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2.6螺线管可测量样品尺寸：</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非规则样品：Φ50mm，长度100mm，（小于该尺寸的样品都可以测量），等截面积规则样品，Φ50mm，长度200mm（小于该尺寸的样品都可以测量）；</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2.7快速测量，整个测量时间短不超过1分钟；</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2.8操作简单，对常用样品无需设置任何参数即可快速测量矫顽力；</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2.9饱和磁场Hs可以任意设定：</w:t>
      </w:r>
    </w:p>
    <w:p>
      <w:pPr>
        <w:numPr>
          <w:ilvl w:val="0"/>
          <w:numId w:val="0"/>
        </w:numPr>
        <w:tabs>
          <w:tab w:val="left" w:pos="360"/>
        </w:tabs>
        <w:spacing w:line="360" w:lineRule="auto"/>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要求为：0～100KA/m（定制螺线管）；</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2.10能自动调零、自动校准、自动测试，能直接快速检测各种规格、异形软磁材料的矫顽磁场强度，测试精度高，性能稳定，操作简单，维修方便。</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2.11通过测量磁化电流来测量磁场强度，磁场锁定精度优于0.05%；</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2.12仪器本身构成独立的测量系统，脱离上位机可进行快速测量；</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2.13 连续工作时间：无限制；</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2.14具备接口：RS232、USB；</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备注：本设备涉及的矫顽力测量参数要完全符合或优于GB/T 3656-2022《软磁材料矫顽力的抛移测量方法》的设计要求。</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3、分析软件</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 xml:space="preserve">3.1软件能够运行于 Windows 系统下作界面全中文提示，操作直观简捷； </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 xml:space="preserve">3.2全自动控制与计算，智能化判断，最大限度消除人工操作所带来的误差； </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3.3自动测量：Bm、Br、Hc、μi、μm 等静态磁特性参数；并绘制磁滞回线、基本磁化曲线、μ-H磁导率曲线等；</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3.4软件内置扫描法和冲击法两种方案进行相关磁性能参数的测量；</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3.5可实时显示励磁电流、磁通量的值，并可在多个窗口中显示采样波形，实时监控采样波形和仪器状态，并可随时中止；</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3.6对所设定的测试参数以方案的形式进行保存，方便进行重复测量；</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3.7测试报告包含完整的曲线图、测试结果、测试条件和样品参数；</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3.8具有自动保存数据，删除数据，清除全部数据等功能；</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 xml:space="preserve">3.9多种结果导出方式：可直接打印，也可导出JPG图片文件、或Excel表格； </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3.10支持各种型号的打印机和打印预览的功能，报告可方便添加用户名称和标志。</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4、执行标准：</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GB/T 13012-2008《软磁材料直流磁性能的测量方法》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GB/T 3656-2022《软磁材料矫顽力的抛移测量方法》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GB/T 13888-2009《在开磁路中测量磁性材料矫顽力的方法》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GB/T 35690-2017《弱磁材料相对磁导率的测量方法》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IEC 60404-4《磁性材料 第4部分：软磁材料直流磁性能的测量方法》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IEC 60404-7《磁性材料 第7部分：软磁材料直流磁性能的测量方法》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IEC 60404-15《磁性材料 第15部分：弱磁材料相对磁导率的测定方法》</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5、螺线管参数：</w:t>
      </w:r>
    </w:p>
    <w:p>
      <w:pPr>
        <w:numPr>
          <w:ilvl w:val="0"/>
          <w:numId w:val="0"/>
        </w:numPr>
        <w:tabs>
          <w:tab w:val="left" w:pos="360"/>
        </w:tabs>
        <w:spacing w:line="360" w:lineRule="auto"/>
        <w:ind w:leftChars="0" w:firstLine="480" w:firstLineChars="20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适用于样品形状：棒样（1mm-50mm）、条样等规则与不规则样品；产生最大磁化场1×10</w:t>
      </w:r>
      <w:r>
        <w:rPr>
          <w:rFonts w:hint="eastAsia" w:asciiTheme="minorEastAsia" w:hAnsiTheme="minorEastAsia" w:eastAsiaTheme="minorEastAsia" w:cstheme="minorEastAsia"/>
          <w:kern w:val="0"/>
          <w:sz w:val="24"/>
          <w:szCs w:val="24"/>
          <w:vertAlign w:val="superscript"/>
          <w:lang w:val="en-US" w:eastAsia="zh-CN"/>
        </w:rPr>
        <w:t>5</w:t>
      </w:r>
      <w:r>
        <w:rPr>
          <w:rFonts w:hint="eastAsia" w:asciiTheme="minorEastAsia" w:hAnsiTheme="minorEastAsia" w:eastAsiaTheme="minorEastAsia" w:cstheme="minorEastAsia"/>
          <w:kern w:val="0"/>
          <w:szCs w:val="24"/>
          <w:lang w:val="en-US" w:eastAsia="zh-CN"/>
        </w:rPr>
        <w:t xml:space="preserve"> A／m，在中心±150 mm范围内磁场不均匀度不大于0．4％，校准磁场常数误差不大于0．2％。开路样品（采用螺线管）测量参数指标：</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Cs w:val="24"/>
          <w:lang w:val="en-US" w:eastAsia="zh-CN"/>
        </w:rPr>
      </w:pPr>
      <w:r>
        <w:rPr>
          <w:rFonts w:hint="eastAsia" w:asciiTheme="minorEastAsia" w:hAnsiTheme="minorEastAsia" w:eastAsiaTheme="minorEastAsia" w:cstheme="minorEastAsia"/>
          <w:kern w:val="0"/>
          <w:szCs w:val="24"/>
          <w:lang w:val="en-US" w:eastAsia="zh-CN"/>
        </w:rPr>
        <w:t>矫顽力Hc（%）测量重复性： ±1.5%，不确定度： ±2.5%。</w:t>
      </w:r>
    </w:p>
    <w:p>
      <w:pPr>
        <w:numPr>
          <w:ilvl w:val="0"/>
          <w:numId w:val="0"/>
        </w:numPr>
        <w:tabs>
          <w:tab w:val="left" w:pos="360"/>
        </w:tabs>
        <w:spacing w:line="360" w:lineRule="auto"/>
        <w:ind w:leftChars="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6、设备调试、培训、验收</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在产品到达买方现场后，由卖方工程师负责免费调试，以达到技术协议附件所要求的技术指标并通过买方验收。</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卖方负责对买方每种需要进行测试的产品的适用性进行验证和指导；</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卖方免费培训买方操作人员、技术人员或其他相关人员，使其熟练掌握设备操作、掌握设备的常见故障解决办法，并长期提供技术咨询服务；</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设备调试达到标书要求的技术指标并完成培训后，卖方组织或联系相关人员对设备进行验收，验收合格后，双方签订验收报告，设备正式移交给买方使用，并自动进入保修期。</w:t>
      </w:r>
    </w:p>
    <w:p>
      <w:pPr>
        <w:pStyle w:val="12"/>
        <w:numPr>
          <w:ilvl w:val="1"/>
          <w:numId w:val="0"/>
        </w:numPr>
        <w:ind w:leftChars="0"/>
        <w:rPr>
          <w:rFonts w:hint="eastAsia" w:asciiTheme="minorEastAsia" w:hAnsiTheme="minorEastAsia" w:eastAsiaTheme="minorEastAsia" w:cstheme="minorEastAsia"/>
          <w:kern w:val="0"/>
          <w:sz w:val="24"/>
          <w:szCs w:val="24"/>
          <w:lang w:val="en-US" w:eastAsia="zh-CN" w:bidi="ar-SA"/>
        </w:rPr>
      </w:pPr>
      <w:bookmarkStart w:id="0" w:name="_Toc27989"/>
      <w:bookmarkStart w:id="1" w:name="_Toc24525"/>
      <w:bookmarkStart w:id="2" w:name="_Toc16959"/>
      <w:bookmarkStart w:id="3" w:name="_Toc22262"/>
      <w:bookmarkStart w:id="4" w:name="_Toc30789"/>
      <w:bookmarkStart w:id="5" w:name="_Toc24867"/>
      <w:r>
        <w:rPr>
          <w:rFonts w:hint="eastAsia" w:asciiTheme="minorEastAsia" w:hAnsiTheme="minorEastAsia" w:eastAsiaTheme="minorEastAsia" w:cstheme="minorEastAsia"/>
          <w:kern w:val="0"/>
          <w:sz w:val="24"/>
          <w:szCs w:val="24"/>
          <w:lang w:val="en-US" w:eastAsia="zh-CN" w:bidi="ar-SA"/>
        </w:rPr>
        <w:t>7、售后服务</w:t>
      </w:r>
      <w:bookmarkEnd w:id="0"/>
      <w:bookmarkEnd w:id="1"/>
      <w:bookmarkEnd w:id="2"/>
      <w:bookmarkEnd w:id="3"/>
      <w:bookmarkEnd w:id="4"/>
      <w:bookmarkEnd w:id="5"/>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设备质保期为设备通过验收之日起12个月，质保期内提供免费维修或更换配件及技术支持；</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设备正常使用后如出现故障，卖方4小时为用户提供可靠解决方案，48小时内到达用户现场，排除故障。保修期内，设备及附件由于质量问题而不能正常工作时，卖方承诺免费修理或更换零部件。因维修不及时，而导致设备无法正常使用时，其保修时间随停机时间的长短而相应延长，给买方造成严重损失的买方有权追偿；</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保修期外只收取零部件配件费，不收取人工费用，并享有优惠购买零配件待遇；</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售后服务人员每年至少上门走访一次，每季度电话回访，主动跟踪动态服务。了解设备的运行情况，并对设备维护和保养提出建议。客户自行进行设备维护的时候提供技术支持；</w:t>
      </w:r>
    </w:p>
    <w:p>
      <w:pPr>
        <w:pStyle w:val="3"/>
        <w:ind w:firstLine="480"/>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买方如需要对机械和电气进行改造升级的时候卖方免费提供技术和图纸方面的支持；</w:t>
      </w:r>
    </w:p>
    <w:p>
      <w:pPr>
        <w:pStyle w:val="3"/>
        <w:ind w:firstLine="480"/>
        <w:rPr>
          <w:rFonts w:hint="eastAsia" w:asciiTheme="minorEastAsia" w:hAnsiTheme="minorEastAsia" w:eastAsiaTheme="minorEastAsia" w:cstheme="minorEastAsia"/>
        </w:rPr>
      </w:pPr>
      <w:r>
        <w:rPr>
          <w:rFonts w:hint="eastAsia" w:asciiTheme="minorEastAsia" w:hAnsiTheme="minorEastAsia" w:eastAsiaTheme="minorEastAsia" w:cstheme="minorEastAsia"/>
          <w:kern w:val="0"/>
          <w:sz w:val="24"/>
          <w:szCs w:val="24"/>
          <w:lang w:val="en-US" w:eastAsia="zh-CN" w:bidi="ar-SA"/>
        </w:rPr>
        <w:t>卖方公司软件升级后，主动对该设备的软件进行免费升级（在买方同意的情况下），买方对该软件的操作便利性有疑义时，经商讨后免费提供升级修改。</w:t>
      </w:r>
      <w:bookmarkStart w:id="6" w:name="_GoBack"/>
      <w:bookmarkEnd w:id="6"/>
    </w:p>
    <w:sectPr>
      <w:head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9D289"/>
    <w:multiLevelType w:val="singleLevel"/>
    <w:tmpl w:val="E8F9D28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YmIzMGFhMGJiMzM5ODgzNjg1Njg4NGJlNGI1YTQifQ=="/>
  </w:docVars>
  <w:rsids>
    <w:rsidRoot w:val="00000000"/>
    <w:rsid w:val="00E368D5"/>
    <w:rsid w:val="01CD58F3"/>
    <w:rsid w:val="09592EDB"/>
    <w:rsid w:val="0C5B233E"/>
    <w:rsid w:val="0F410119"/>
    <w:rsid w:val="10D4377A"/>
    <w:rsid w:val="11DE6304"/>
    <w:rsid w:val="11F85F3F"/>
    <w:rsid w:val="12F978B7"/>
    <w:rsid w:val="13703D9B"/>
    <w:rsid w:val="14FA4C13"/>
    <w:rsid w:val="17833C2E"/>
    <w:rsid w:val="17AF5585"/>
    <w:rsid w:val="189C67DB"/>
    <w:rsid w:val="1E4C1AE7"/>
    <w:rsid w:val="200C4078"/>
    <w:rsid w:val="20F6469A"/>
    <w:rsid w:val="21867A05"/>
    <w:rsid w:val="221E31E1"/>
    <w:rsid w:val="24730476"/>
    <w:rsid w:val="24C6199C"/>
    <w:rsid w:val="27734588"/>
    <w:rsid w:val="284F6A7D"/>
    <w:rsid w:val="290A7832"/>
    <w:rsid w:val="2912392D"/>
    <w:rsid w:val="2A754169"/>
    <w:rsid w:val="2B8967ED"/>
    <w:rsid w:val="2C1E527E"/>
    <w:rsid w:val="2D9441F6"/>
    <w:rsid w:val="2E750BE6"/>
    <w:rsid w:val="2E817638"/>
    <w:rsid w:val="30692FA9"/>
    <w:rsid w:val="313E1763"/>
    <w:rsid w:val="3492636E"/>
    <w:rsid w:val="39353D74"/>
    <w:rsid w:val="3B0532F1"/>
    <w:rsid w:val="3C3673FA"/>
    <w:rsid w:val="41DB708C"/>
    <w:rsid w:val="43375B7B"/>
    <w:rsid w:val="43B12268"/>
    <w:rsid w:val="4433274D"/>
    <w:rsid w:val="4A392FB7"/>
    <w:rsid w:val="4B5C0D0B"/>
    <w:rsid w:val="503C2295"/>
    <w:rsid w:val="50934C07"/>
    <w:rsid w:val="51993FD8"/>
    <w:rsid w:val="51B41070"/>
    <w:rsid w:val="53D14261"/>
    <w:rsid w:val="53EB6E09"/>
    <w:rsid w:val="550E0D69"/>
    <w:rsid w:val="570309A9"/>
    <w:rsid w:val="572E4E0A"/>
    <w:rsid w:val="57B72865"/>
    <w:rsid w:val="5CFE64A1"/>
    <w:rsid w:val="601C4AB5"/>
    <w:rsid w:val="60D31618"/>
    <w:rsid w:val="61265BEC"/>
    <w:rsid w:val="62B762FB"/>
    <w:rsid w:val="63091321"/>
    <w:rsid w:val="63211F6C"/>
    <w:rsid w:val="642D66CC"/>
    <w:rsid w:val="655E33C1"/>
    <w:rsid w:val="65A05841"/>
    <w:rsid w:val="67AA64B5"/>
    <w:rsid w:val="68BB41E6"/>
    <w:rsid w:val="692A77A8"/>
    <w:rsid w:val="69BD2017"/>
    <w:rsid w:val="6A3D7B02"/>
    <w:rsid w:val="6E141832"/>
    <w:rsid w:val="6E647D53"/>
    <w:rsid w:val="701B08E6"/>
    <w:rsid w:val="746E6F55"/>
    <w:rsid w:val="74731EE0"/>
    <w:rsid w:val="74C01E69"/>
    <w:rsid w:val="77521639"/>
    <w:rsid w:val="7ADC3568"/>
    <w:rsid w:val="7E4C7F23"/>
    <w:rsid w:val="7F777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00" w:lineRule="auto"/>
      <w:jc w:val="both"/>
    </w:pPr>
    <w:rPr>
      <w:rFonts w:ascii="Calibri" w:hAnsi="Calibri" w:eastAsia="宋体" w:cs="黑体"/>
      <w:kern w:val="2"/>
      <w:sz w:val="24"/>
      <w:szCs w:val="22"/>
      <w:lang w:val="en-US" w:eastAsia="zh-CN" w:bidi="ar-SA"/>
    </w:rPr>
  </w:style>
  <w:style w:type="paragraph" w:styleId="2">
    <w:name w:val="heading 1"/>
    <w:basedOn w:val="1"/>
    <w:next w:val="3"/>
    <w:qFormat/>
    <w:uiPriority w:val="9"/>
    <w:pPr>
      <w:keepNext/>
      <w:keepLines/>
      <w:spacing w:line="500" w:lineRule="exact"/>
      <w:outlineLvl w:val="0"/>
    </w:pPr>
    <w:rPr>
      <w:rFonts w:eastAsia="黑体"/>
      <w:b/>
      <w:bCs/>
      <w:kern w:val="44"/>
      <w:sz w:val="28"/>
      <w:szCs w:val="44"/>
    </w:rPr>
  </w:style>
  <w:style w:type="paragraph" w:styleId="6">
    <w:name w:val="heading 2"/>
    <w:basedOn w:val="2"/>
    <w:next w:val="3"/>
    <w:qFormat/>
    <w:uiPriority w:val="0"/>
    <w:pPr>
      <w:tabs>
        <w:tab w:val="left" w:pos="641"/>
      </w:tabs>
      <w:spacing w:before="120"/>
      <w:outlineLvl w:val="1"/>
    </w:pPr>
  </w:style>
  <w:style w:type="character" w:default="1" w:styleId="10">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3">
    <w:name w:val="正文缩进2字"/>
    <w:basedOn w:val="4"/>
    <w:qFormat/>
    <w:uiPriority w:val="0"/>
    <w:pPr>
      <w:spacing w:after="0"/>
      <w:ind w:firstLine="200" w:firstLineChars="200"/>
    </w:pPr>
    <w:rPr>
      <w:rFonts w:ascii="Times New Roman" w:hAnsi="Times New Roman"/>
      <w:kern w:val="2"/>
    </w:rPr>
  </w:style>
  <w:style w:type="paragraph" w:styleId="4">
    <w:name w:val="Body Text First Indent"/>
    <w:basedOn w:val="5"/>
    <w:unhideWhenUsed/>
    <w:qFormat/>
    <w:uiPriority w:val="99"/>
    <w:pPr>
      <w:ind w:firstLine="420" w:firstLineChars="100"/>
    </w:pPr>
  </w:style>
  <w:style w:type="paragraph" w:styleId="5">
    <w:name w:val="Body Text"/>
    <w:basedOn w:val="1"/>
    <w:unhideWhenUsed/>
    <w:qFormat/>
    <w:uiPriority w:val="99"/>
    <w:pPr>
      <w:spacing w:after="120"/>
    </w:pPr>
    <w:rPr>
      <w:rFonts w:ascii="Arial" w:hAnsi="Arial" w:cs="Times New Roman"/>
      <w:kern w:val="0"/>
      <w:szCs w:val="24"/>
    </w:rPr>
  </w:style>
  <w:style w:type="paragraph" w:styleId="7">
    <w:name w:val="footer"/>
    <w:basedOn w:val="1"/>
    <w:unhideWhenUsed/>
    <w:qFormat/>
    <w:uiPriority w:val="99"/>
    <w:pPr>
      <w:tabs>
        <w:tab w:val="center" w:pos="4153"/>
        <w:tab w:val="right" w:pos="8306"/>
      </w:tabs>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jc w:val="center"/>
    </w:pPr>
    <w:rPr>
      <w:sz w:val="18"/>
      <w:szCs w:val="18"/>
    </w:rPr>
  </w:style>
  <w:style w:type="character" w:styleId="11">
    <w:name w:val="Hyperlink"/>
    <w:basedOn w:val="10"/>
    <w:autoRedefine/>
    <w:unhideWhenUsed/>
    <w:qFormat/>
    <w:uiPriority w:val="99"/>
    <w:rPr>
      <w:color w:val="0000FF"/>
      <w:u w:val="single"/>
    </w:rPr>
  </w:style>
  <w:style w:type="paragraph" w:customStyle="1" w:styleId="12">
    <w:name w:val="2级标题"/>
    <w:basedOn w:val="6"/>
    <w:next w:val="3"/>
    <w:autoRedefine/>
    <w:qFormat/>
    <w:uiPriority w:val="0"/>
    <w:pPr>
      <w:tabs>
        <w:tab w:val="clear" w:pos="641"/>
      </w:tab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2023-12-03T09:02:00Z</dcterms:created>
  <dc:creator>Administrator</dc:creator>
  <cp:lastModifiedBy>Administrator</cp:lastModifiedBy>
  <dcterms:modified xsi:type="dcterms:W3CDTF">2024-03-26T01:56:29Z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3A7E221CCB8C48B9885EC97C2DEE4E17_12</vt:lpwstr>
  </property>
</Properties>
</file>