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bookmarkStart w:id="0" w:name="_GoBack"/>
      <w:bookmarkEnd w:id="0"/>
    </w:p>
    <w:p>
      <w:pPr>
        <w:numPr>
          <w:ilvl w:val="0"/>
          <w:numId w:val="0"/>
        </w:numPr>
        <w:tabs>
          <w:tab w:val="left" w:pos="360"/>
        </w:tabs>
        <w:spacing w:line="360" w:lineRule="auto"/>
        <w:ind w:leftChars="0"/>
        <w:jc w:val="center"/>
        <w:rPr>
          <w:rFonts w:hint="eastAsia" w:asciiTheme="minorEastAsia" w:hAnsiTheme="minorEastAsia" w:eastAsiaTheme="minorEastAsia" w:cstheme="minorEastAsia"/>
          <w:kern w:val="0"/>
          <w:sz w:val="48"/>
          <w:szCs w:val="48"/>
          <w:lang w:val="en-US" w:eastAsia="zh-CN"/>
        </w:rPr>
      </w:pPr>
      <w:r>
        <w:rPr>
          <w:rFonts w:hint="eastAsia" w:asciiTheme="minorEastAsia" w:hAnsiTheme="minorEastAsia" w:eastAsiaTheme="minorEastAsia" w:cstheme="minorEastAsia"/>
          <w:kern w:val="0"/>
          <w:sz w:val="48"/>
          <w:szCs w:val="48"/>
          <w:lang w:val="en-US" w:eastAsia="zh-CN"/>
        </w:rPr>
        <w:t>可编程真空（或通氩气）保护实验电炉</w:t>
      </w:r>
    </w:p>
    <w:p>
      <w:pPr>
        <w:numPr>
          <w:ilvl w:val="0"/>
          <w:numId w:val="0"/>
        </w:numPr>
        <w:tabs>
          <w:tab w:val="left" w:pos="360"/>
        </w:tabs>
        <w:spacing w:line="360" w:lineRule="auto"/>
        <w:ind w:leftChars="0"/>
        <w:jc w:val="center"/>
        <w:rPr>
          <w:rFonts w:hint="eastAsia" w:asciiTheme="minorEastAsia" w:hAnsiTheme="minorEastAsia" w:eastAsiaTheme="minorEastAsia" w:cstheme="minorEastAsia"/>
          <w:kern w:val="0"/>
          <w:sz w:val="52"/>
          <w:szCs w:val="52"/>
          <w:lang w:val="en-US" w:eastAsia="zh-CN"/>
        </w:rPr>
      </w:pPr>
      <w:r>
        <w:rPr>
          <w:rFonts w:hint="eastAsia" w:asciiTheme="minorEastAsia" w:hAnsiTheme="minorEastAsia" w:eastAsiaTheme="minorEastAsia" w:cstheme="minorEastAsia"/>
          <w:kern w:val="0"/>
          <w:sz w:val="52"/>
          <w:szCs w:val="52"/>
          <w:lang w:val="en-US" w:eastAsia="zh-CN"/>
        </w:rPr>
        <w:t>技术要求</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b/>
          <w:bCs/>
          <w:kern w:val="0"/>
          <w:szCs w:val="24"/>
          <w:lang w:val="en-US" w:eastAsia="zh-CN"/>
        </w:rPr>
        <w:t>可编程真空（或通氩气）保护实验电炉技术要求</w:t>
      </w:r>
      <w:r>
        <w:rPr>
          <w:rFonts w:hint="eastAsia" w:asciiTheme="minorEastAsia" w:hAnsiTheme="minorEastAsia" w:eastAsiaTheme="minorEastAsia" w:cstheme="minorEastAsia"/>
          <w:kern w:val="0"/>
          <w:szCs w:val="24"/>
          <w:lang w:val="en-US" w:eastAsia="zh-CN"/>
        </w:rPr>
        <w:t>：</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1、设备用途：买方用于退火工艺:在高纯氩气或真空保护下试验材料随炉升温到 900 C士10 C保温1 h,保温结束后以低于50 C/h的速度冷却到500 C以下或室温出炉；</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2、试验材料：直径为Φ10mm，长度200mm的纯铁棒材；</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3、参数要求：</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3.1最高保持温度不低于1000℃，控温精度</w:t>
      </w:r>
      <w:r>
        <w:rPr>
          <w:rFonts w:hint="eastAsia" w:asciiTheme="minorEastAsia" w:hAnsiTheme="minorEastAsia" w:eastAsiaTheme="minorEastAsia" w:cstheme="minorEastAsia"/>
          <w:kern w:val="0"/>
          <w:szCs w:val="24"/>
          <w:u w:val="single"/>
          <w:lang w:val="en-US" w:eastAsia="zh-CN"/>
        </w:rPr>
        <w:t>+</w:t>
      </w:r>
      <w:r>
        <w:rPr>
          <w:rFonts w:hint="eastAsia" w:asciiTheme="minorEastAsia" w:hAnsiTheme="minorEastAsia" w:eastAsiaTheme="minorEastAsia" w:cstheme="minorEastAsia"/>
          <w:kern w:val="0"/>
          <w:szCs w:val="24"/>
          <w:lang w:val="en-US" w:eastAsia="zh-CN"/>
        </w:rPr>
        <w:t>1℃；</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3.2石英内炉衬，全纤维保温层；</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3.3炉膛材料采用陶瓷纤维制成，热容小，升温快(30分钟可达到设定温度）；</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3.4使用智能数显可编程温控表,可编制多段升、保、降温曲线，全自动升温、保温、降温和超温保护，程序运行结束自动停止，无须值守；</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3.5发热元件使用高温电阻丝采用浅埋的方式置于炉壁而形成发热板，使用方便、安全；</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3.6配置可编程序控温仪表，配置</w:t>
      </w:r>
      <w:r>
        <w:rPr>
          <w:rFonts w:hint="eastAsia" w:asciiTheme="minorEastAsia" w:hAnsiTheme="minorEastAsia" w:eastAsiaTheme="minorEastAsia" w:cstheme="minorEastAsia"/>
          <w:kern w:val="0"/>
          <w:szCs w:val="24"/>
          <w:lang w:val="en-US" w:eastAsia="zh-CN"/>
        </w:rPr>
        <w:fldChar w:fldCharType="begin"/>
      </w:r>
      <w:r>
        <w:rPr>
          <w:rFonts w:hint="eastAsia" w:asciiTheme="minorEastAsia" w:hAnsiTheme="minorEastAsia" w:eastAsiaTheme="minorEastAsia" w:cstheme="minorEastAsia"/>
          <w:kern w:val="0"/>
          <w:szCs w:val="24"/>
          <w:lang w:val="en-US" w:eastAsia="zh-CN"/>
        </w:rPr>
        <w:instrText xml:space="preserve"> HYPERLINK "https://baike.baidu.com/item/RS485%E6%8E%A5%E5%8F%A3/2316979?fromModule=lemma_inlink" \t "https://baike.baidu.com/item/%E5%AE%9E%E9%AA%8C%E5%AE%A4%E7%94%B5%E7%82%89/_blank" </w:instrText>
      </w:r>
      <w:r>
        <w:rPr>
          <w:rFonts w:hint="eastAsia" w:asciiTheme="minorEastAsia" w:hAnsiTheme="minorEastAsia" w:eastAsiaTheme="minorEastAsia" w:cstheme="minorEastAsia"/>
          <w:kern w:val="0"/>
          <w:szCs w:val="24"/>
          <w:lang w:val="en-US" w:eastAsia="zh-CN"/>
        </w:rPr>
        <w:fldChar w:fldCharType="separate"/>
      </w:r>
      <w:r>
        <w:rPr>
          <w:rFonts w:hint="eastAsia" w:asciiTheme="minorEastAsia" w:hAnsiTheme="minorEastAsia" w:eastAsiaTheme="minorEastAsia" w:cstheme="minorEastAsia"/>
          <w:kern w:val="0"/>
          <w:szCs w:val="24"/>
          <w:lang w:val="en-US" w:eastAsia="zh-CN"/>
        </w:rPr>
        <w:t>RS485接口</w:t>
      </w:r>
      <w:r>
        <w:rPr>
          <w:rFonts w:hint="eastAsia" w:asciiTheme="minorEastAsia" w:hAnsiTheme="minorEastAsia" w:eastAsiaTheme="minorEastAsia" w:cstheme="minorEastAsia"/>
          <w:kern w:val="0"/>
          <w:szCs w:val="24"/>
          <w:lang w:val="en-US" w:eastAsia="zh-CN"/>
        </w:rPr>
        <w:fldChar w:fldCharType="end"/>
      </w:r>
      <w:r>
        <w:rPr>
          <w:rFonts w:hint="eastAsia" w:asciiTheme="minorEastAsia" w:hAnsiTheme="minorEastAsia" w:eastAsiaTheme="minorEastAsia" w:cstheme="minorEastAsia"/>
          <w:kern w:val="0"/>
          <w:szCs w:val="24"/>
          <w:lang w:val="en-US" w:eastAsia="zh-CN"/>
        </w:rPr>
        <w:t>，实现对电炉的远程控制和数据采集。或配置圆图调节记录仪对热处理过程作跟踪记录；</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3.7腔体内可用尺寸：直径不低于Φ200mm，长度不低于210mm；</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腔体内配备试样支架（按标准试样设计）一套；</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配备维修工具一套；</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3.8设备调试、培训、验收</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在产品到达买方现场后，由卖方工程师负责免费调试，以达到技术协议附件所要求的技术指标并通过买方验收。</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卖方负责对买方每种需要进行测试的产品的适用性进行验证和指导；</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卖方免费培训买方操作人员、技术人员或其他相关人员，使其熟练掌握设备操作、掌握设备的常见故障解决办法，并长期提供技术咨询服务；</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设备调试达到标书要求的技术指标并完成培训后，卖方组织或联系相关人员对设备进行验收，验收合格后，双方签订验收报告，设备正式移交给买方使用，并自动进入保修期。</w:t>
      </w:r>
    </w:p>
    <w:p>
      <w:pPr>
        <w:pStyle w:val="12"/>
        <w:numPr>
          <w:ilvl w:val="1"/>
          <w:numId w:val="0"/>
        </w:numPr>
        <w:ind w:leftChars="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3.9售后服务</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设备质保期为设备通过验收之日起12个月，质保期内提供免费维修或更换配件及技术支持；</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设备正常使用后如出现故障，卖方4小时为用户提供可靠解决方案，48小时内到达用户现场，排除故障。保修期内，设备及附件由于质量问题而不能正常工作时，卖方承诺免费修理或更换零部件。因维修不及时，而导致设备无法正常使用时，其保修时间随停机时间的长短而相应延长，给买方造成严重损失的买方有权追偿；</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保修期外只收取零部件配件费，不收取人工费用，并享有优惠购买零配件待遇；</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售后服务人员，主动跟踪动态服务。了解设备的运行情况，并对设备维护和保养提出建议。客户自行进行设备维护的时候提供技术支持；</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买方如需要对机械和电气进行改造升级的时候卖方免费提供技术和图纸方面的支持；</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卖方公司软件升级后，主动对该设备的软件进行免费升级（在买方同意的情况下），买方对该软件的操作便利性有疑义时，经商讨后免费提供升级修改。</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 w:val="24"/>
          <w:szCs w:val="24"/>
          <w:lang w:val="en-US" w:eastAsia="zh-CN" w:bidi="ar-SA"/>
        </w:rPr>
      </w:pP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p>
    <w:p>
      <w:pPr>
        <w:rPr>
          <w:rFonts w:hint="eastAsia" w:asciiTheme="minorEastAsia" w:hAnsiTheme="minorEastAsia" w:eastAsiaTheme="minorEastAsia" w:cstheme="minorEastAsia"/>
        </w:rPr>
      </w:pP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YmIzMGFhMGJiMzM5ODgzNjg1Njg4NGJlNGI1YTQifQ=="/>
  </w:docVars>
  <w:rsids>
    <w:rsidRoot w:val="00000000"/>
    <w:rsid w:val="00E368D5"/>
    <w:rsid w:val="01CD58F3"/>
    <w:rsid w:val="09592EDB"/>
    <w:rsid w:val="0C5B233E"/>
    <w:rsid w:val="0F410119"/>
    <w:rsid w:val="10D4377A"/>
    <w:rsid w:val="11DE6304"/>
    <w:rsid w:val="11F85F3F"/>
    <w:rsid w:val="12F978B7"/>
    <w:rsid w:val="13703D9B"/>
    <w:rsid w:val="14FA4C13"/>
    <w:rsid w:val="17833C2E"/>
    <w:rsid w:val="17AF5585"/>
    <w:rsid w:val="189C67DB"/>
    <w:rsid w:val="1DEF7112"/>
    <w:rsid w:val="1E4C1AE7"/>
    <w:rsid w:val="200C4078"/>
    <w:rsid w:val="20F6469A"/>
    <w:rsid w:val="21867A05"/>
    <w:rsid w:val="221E31E1"/>
    <w:rsid w:val="24730476"/>
    <w:rsid w:val="24C6199C"/>
    <w:rsid w:val="27734588"/>
    <w:rsid w:val="284F6A7D"/>
    <w:rsid w:val="290A7832"/>
    <w:rsid w:val="2912392D"/>
    <w:rsid w:val="2A754169"/>
    <w:rsid w:val="2B8967ED"/>
    <w:rsid w:val="2C1E527E"/>
    <w:rsid w:val="2D9441F6"/>
    <w:rsid w:val="2E750BE6"/>
    <w:rsid w:val="2E817638"/>
    <w:rsid w:val="30692FA9"/>
    <w:rsid w:val="313E1763"/>
    <w:rsid w:val="3492636E"/>
    <w:rsid w:val="39353D74"/>
    <w:rsid w:val="3B0532F1"/>
    <w:rsid w:val="3C3673FA"/>
    <w:rsid w:val="41DB708C"/>
    <w:rsid w:val="43375B7B"/>
    <w:rsid w:val="43B12268"/>
    <w:rsid w:val="4433274D"/>
    <w:rsid w:val="4A392FB7"/>
    <w:rsid w:val="4B5C0D0B"/>
    <w:rsid w:val="503C2295"/>
    <w:rsid w:val="51993FD8"/>
    <w:rsid w:val="51B41070"/>
    <w:rsid w:val="53D14261"/>
    <w:rsid w:val="53EB6E09"/>
    <w:rsid w:val="550E0D69"/>
    <w:rsid w:val="570309A9"/>
    <w:rsid w:val="572E4E0A"/>
    <w:rsid w:val="57B72865"/>
    <w:rsid w:val="5CFE64A1"/>
    <w:rsid w:val="601C4AB5"/>
    <w:rsid w:val="60D31618"/>
    <w:rsid w:val="61265BEC"/>
    <w:rsid w:val="62B762FB"/>
    <w:rsid w:val="63091321"/>
    <w:rsid w:val="63211F6C"/>
    <w:rsid w:val="642D66CC"/>
    <w:rsid w:val="655E33C1"/>
    <w:rsid w:val="65A05841"/>
    <w:rsid w:val="67AA64B5"/>
    <w:rsid w:val="68BB41E6"/>
    <w:rsid w:val="692A77A8"/>
    <w:rsid w:val="69BD2017"/>
    <w:rsid w:val="6A3D7B02"/>
    <w:rsid w:val="6E141832"/>
    <w:rsid w:val="6E647D53"/>
    <w:rsid w:val="701B08E6"/>
    <w:rsid w:val="746E6F55"/>
    <w:rsid w:val="74731EE0"/>
    <w:rsid w:val="74C01E69"/>
    <w:rsid w:val="77521639"/>
    <w:rsid w:val="7ADC3568"/>
    <w:rsid w:val="7E4C7F23"/>
    <w:rsid w:val="7F77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300" w:lineRule="auto"/>
      <w:jc w:val="both"/>
    </w:pPr>
    <w:rPr>
      <w:rFonts w:ascii="Calibri" w:hAnsi="Calibri" w:eastAsia="宋体" w:cs="黑体"/>
      <w:kern w:val="2"/>
      <w:sz w:val="24"/>
      <w:szCs w:val="22"/>
      <w:lang w:val="en-US" w:eastAsia="zh-CN" w:bidi="ar-SA"/>
    </w:rPr>
  </w:style>
  <w:style w:type="paragraph" w:styleId="2">
    <w:name w:val="heading 1"/>
    <w:basedOn w:val="1"/>
    <w:next w:val="3"/>
    <w:qFormat/>
    <w:uiPriority w:val="9"/>
    <w:pPr>
      <w:keepNext/>
      <w:keepLines/>
      <w:spacing w:line="500" w:lineRule="exact"/>
      <w:outlineLvl w:val="0"/>
    </w:pPr>
    <w:rPr>
      <w:rFonts w:eastAsia="黑体"/>
      <w:b/>
      <w:bCs/>
      <w:kern w:val="44"/>
      <w:sz w:val="28"/>
      <w:szCs w:val="44"/>
    </w:rPr>
  </w:style>
  <w:style w:type="paragraph" w:styleId="6">
    <w:name w:val="heading 2"/>
    <w:basedOn w:val="2"/>
    <w:next w:val="3"/>
    <w:qFormat/>
    <w:uiPriority w:val="0"/>
    <w:pPr>
      <w:tabs>
        <w:tab w:val="left" w:pos="641"/>
      </w:tabs>
      <w:spacing w:before="120"/>
      <w:outlineLvl w:val="1"/>
    </w:pPr>
  </w:style>
  <w:style w:type="character" w:default="1" w:styleId="10">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3">
    <w:name w:val="正文缩进2字"/>
    <w:basedOn w:val="4"/>
    <w:qFormat/>
    <w:uiPriority w:val="0"/>
    <w:pPr>
      <w:spacing w:after="0"/>
      <w:ind w:firstLine="200" w:firstLineChars="200"/>
    </w:pPr>
    <w:rPr>
      <w:rFonts w:ascii="Times New Roman" w:hAnsi="Times New Roman"/>
      <w:kern w:val="2"/>
    </w:rPr>
  </w:style>
  <w:style w:type="paragraph" w:styleId="4">
    <w:name w:val="Body Text First Indent"/>
    <w:basedOn w:val="5"/>
    <w:unhideWhenUsed/>
    <w:qFormat/>
    <w:uiPriority w:val="99"/>
    <w:pPr>
      <w:ind w:firstLine="420" w:firstLineChars="100"/>
    </w:pPr>
  </w:style>
  <w:style w:type="paragraph" w:styleId="5">
    <w:name w:val="Body Text"/>
    <w:basedOn w:val="1"/>
    <w:unhideWhenUsed/>
    <w:qFormat/>
    <w:uiPriority w:val="99"/>
    <w:pPr>
      <w:spacing w:after="120"/>
    </w:pPr>
    <w:rPr>
      <w:rFonts w:ascii="Arial" w:hAnsi="Arial" w:cs="Times New Roman"/>
      <w:kern w:val="0"/>
      <w:szCs w:val="24"/>
    </w:rPr>
  </w:style>
  <w:style w:type="paragraph" w:styleId="7">
    <w:name w:val="footer"/>
    <w:basedOn w:val="1"/>
    <w:unhideWhenUsed/>
    <w:qFormat/>
    <w:uiPriority w:val="99"/>
    <w:pPr>
      <w:tabs>
        <w:tab w:val="center" w:pos="4153"/>
        <w:tab w:val="right" w:pos="8306"/>
      </w:tabs>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jc w:val="center"/>
    </w:pPr>
    <w:rPr>
      <w:sz w:val="18"/>
      <w:szCs w:val="18"/>
    </w:rPr>
  </w:style>
  <w:style w:type="character" w:styleId="11">
    <w:name w:val="Hyperlink"/>
    <w:basedOn w:val="10"/>
    <w:autoRedefine/>
    <w:unhideWhenUsed/>
    <w:qFormat/>
    <w:uiPriority w:val="99"/>
    <w:rPr>
      <w:color w:val="0000FF"/>
      <w:u w:val="single"/>
    </w:rPr>
  </w:style>
  <w:style w:type="paragraph" w:customStyle="1" w:styleId="12">
    <w:name w:val="2级标题"/>
    <w:basedOn w:val="6"/>
    <w:next w:val="3"/>
    <w:autoRedefine/>
    <w:qFormat/>
    <w:uiPriority w:val="0"/>
    <w:pPr>
      <w:tabs>
        <w:tab w:val="clear" w:pos="641"/>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2023-12-03T09:02:00Z</dcterms:created>
  <dc:creator>Administrator</dc:creator>
  <cp:lastModifiedBy>Administrator</cp:lastModifiedBy>
  <dcterms:modified xsi:type="dcterms:W3CDTF">2024-03-26T01:56:53Z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3A7E221CCB8C48B9885EC97C2DEE4E17_12</vt:lpwstr>
  </property>
</Properties>
</file>